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3F" w:rsidRDefault="00490A3F" w:rsidP="00490A3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343D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9A3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343D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:rsidR="00490A3F" w:rsidRDefault="00490A3F" w:rsidP="00490A3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Propinsi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Lampung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wilayah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berbatasan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laut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disebelah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timur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selat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sunda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diselatan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samudra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hindia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disebelah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Propinsi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Sumatra Selatan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disebelah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utara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wilayah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33.307 km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persegi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kepulauan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Sebuku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Reketung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Rakata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selat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sunda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D1247">
        <w:rPr>
          <w:rFonts w:asciiTheme="majorBidi" w:hAnsiTheme="majorBidi" w:cstheme="majorBidi"/>
          <w:sz w:val="24"/>
          <w:szCs w:val="24"/>
        </w:rPr>
        <w:t xml:space="preserve">(Tim </w:t>
      </w:r>
      <w:proofErr w:type="spellStart"/>
      <w:r w:rsidRPr="006D1247">
        <w:rPr>
          <w:rFonts w:asciiTheme="majorBidi" w:hAnsiTheme="majorBidi" w:cstheme="majorBidi"/>
          <w:sz w:val="24"/>
          <w:szCs w:val="24"/>
        </w:rPr>
        <w:t>PUSSbik</w:t>
      </w:r>
      <w:proofErr w:type="spellEnd"/>
      <w:r w:rsidRPr="006D1247">
        <w:rPr>
          <w:rFonts w:asciiTheme="majorBidi" w:hAnsiTheme="majorBidi" w:cstheme="majorBidi"/>
          <w:sz w:val="24"/>
          <w:szCs w:val="24"/>
        </w:rPr>
        <w:t>: 2002)</w:t>
      </w:r>
      <w:r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Lampung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bebera</w:t>
      </w:r>
      <w:r>
        <w:rPr>
          <w:rFonts w:asciiTheme="majorBidi" w:hAnsiTheme="majorBidi" w:cstheme="majorBidi"/>
          <w:sz w:val="24"/>
          <w:szCs w:val="24"/>
        </w:rPr>
        <w:t>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belakangan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menghawatirkan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masyarakat</w:t>
      </w:r>
      <w:r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kar</w:t>
      </w:r>
      <w:r>
        <w:rPr>
          <w:rFonts w:asciiTheme="majorBidi" w:hAnsiTheme="majorBidi" w:cstheme="majorBidi"/>
          <w:sz w:val="24"/>
          <w:szCs w:val="24"/>
        </w:rPr>
        <w:t>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</w:t>
      </w:r>
      <w:r w:rsidRPr="00524248">
        <w:rPr>
          <w:rFonts w:asciiTheme="majorBidi" w:hAnsiTheme="majorBidi" w:cstheme="majorBidi"/>
          <w:sz w:val="24"/>
          <w:szCs w:val="24"/>
        </w:rPr>
        <w:t>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sadaran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keaneragaman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etnis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 (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mud</w:t>
      </w:r>
      <w:r>
        <w:rPr>
          <w:rFonts w:asciiTheme="majorBidi" w:hAnsiTheme="majorBidi" w:cstheme="majorBidi"/>
          <w:sz w:val="24"/>
          <w:szCs w:val="24"/>
        </w:rPr>
        <w:t>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terpicu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isu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kebenaranya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misalnya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konflik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Baniluraga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, Way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Panji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, Lampung Selatan,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Oktober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2012;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bentrok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antar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kampung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Jabung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, September 2012;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juli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2014 di Way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Galih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Tanjung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Bintang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konflik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dihutan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register Mesuji;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bentrok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kampung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Buyut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Kusumadadi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mengakibatkan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17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rumah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terbakar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baru-baru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</w:t>
      </w:r>
      <w:r w:rsidRPr="00524248">
        <w:rPr>
          <w:rFonts w:asciiTheme="majorBidi" w:hAnsiTheme="majorBidi" w:cstheme="majorBidi"/>
          <w:sz w:val="24"/>
          <w:szCs w:val="24"/>
        </w:rPr>
        <w:t>blik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15DB5">
        <w:rPr>
          <w:rFonts w:asciiTheme="majorBidi" w:hAnsiTheme="majorBidi" w:cstheme="majorBidi"/>
          <w:sz w:val="24"/>
          <w:szCs w:val="24"/>
        </w:rPr>
        <w:t>nasional</w:t>
      </w:r>
      <w:r w:rsidRPr="00815DB5">
        <w:rPr>
          <w:rFonts w:asciiTheme="majorBidi" w:hAnsiTheme="majorBidi" w:cstheme="majorBidi"/>
          <w:iCs/>
          <w:sz w:val="24"/>
          <w:szCs w:val="24"/>
        </w:rPr>
        <w:t>pun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dikagetkan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bentrok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antar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dusun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di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kampung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Tanjung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Harapan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Nak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Tuha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107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rusak.</w:t>
      </w:r>
      <w:proofErr w:type="spellEnd"/>
    </w:p>
    <w:p w:rsidR="00490A3F" w:rsidRPr="00490A3F" w:rsidRDefault="00490A3F" w:rsidP="00490A3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Menanggapi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rente</w:t>
      </w:r>
      <w:r w:rsidRPr="00524248">
        <w:rPr>
          <w:rFonts w:asciiTheme="majorBidi" w:hAnsiTheme="majorBidi" w:cstheme="majorBidi"/>
          <w:sz w:val="24"/>
          <w:szCs w:val="24"/>
        </w:rPr>
        <w:t>tan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konflik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4248">
        <w:rPr>
          <w:rFonts w:asciiTheme="majorBidi" w:hAnsiTheme="majorBidi" w:cstheme="majorBidi"/>
          <w:sz w:val="24"/>
          <w:szCs w:val="24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1D90">
        <w:rPr>
          <w:rFonts w:asciiTheme="majorBidi" w:hAnsiTheme="majorBidi" w:cstheme="majorBidi"/>
          <w:i/>
          <w:sz w:val="24"/>
          <w:szCs w:val="24"/>
        </w:rPr>
        <w:t>civil religion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implementasi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persatuan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kesatuan</w:t>
      </w:r>
      <w:proofErr w:type="spellEnd"/>
      <w:r w:rsidRPr="0052424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memadukan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kekeyaan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negara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terjalin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nantinya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persamaan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persoalan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Negara.</w:t>
      </w:r>
      <w:proofErr w:type="gramEnd"/>
    </w:p>
    <w:p w:rsidR="00490A3F" w:rsidRDefault="00490A3F" w:rsidP="00490A3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A343D">
        <w:rPr>
          <w:rFonts w:asciiTheme="majorBidi" w:hAnsiTheme="majorBidi" w:cstheme="majorBidi"/>
          <w:i/>
          <w:iCs/>
          <w:sz w:val="24"/>
          <w:szCs w:val="24"/>
        </w:rPr>
        <w:t>civil religion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GLD </w:t>
      </w:r>
      <w:r w:rsidRPr="009A343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9A343D">
        <w:rPr>
          <w:rFonts w:ascii="Times New Roman" w:hAnsi="Times New Roman" w:cs="Times New Roman"/>
          <w:iCs/>
          <w:sz w:val="24"/>
          <w:szCs w:val="24"/>
        </w:rPr>
        <w:t>Garakan</w:t>
      </w:r>
      <w:proofErr w:type="spellEnd"/>
      <w:r w:rsidRPr="009A343D">
        <w:rPr>
          <w:rFonts w:ascii="Times New Roman" w:hAnsi="Times New Roman" w:cs="Times New Roman"/>
          <w:iCs/>
          <w:sz w:val="24"/>
          <w:szCs w:val="24"/>
        </w:rPr>
        <w:t xml:space="preserve"> Lampung </w:t>
      </w:r>
      <w:proofErr w:type="spellStart"/>
      <w:r w:rsidRPr="009A343D">
        <w:rPr>
          <w:rFonts w:ascii="Times New Roman" w:hAnsi="Times New Roman" w:cs="Times New Roman"/>
          <w:iCs/>
          <w:sz w:val="24"/>
          <w:szCs w:val="24"/>
        </w:rPr>
        <w:t>Damai</w:t>
      </w:r>
      <w:proofErr w:type="spellEnd"/>
      <w:r w:rsidRPr="009A343D">
        <w:rPr>
          <w:rFonts w:ascii="Times New Roman" w:hAnsi="Times New Roman" w:cs="Times New Roman"/>
          <w:iCs/>
          <w:sz w:val="24"/>
          <w:szCs w:val="24"/>
        </w:rPr>
        <w:t>)</w:t>
      </w:r>
      <w:r w:rsidRPr="004A0B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343D"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dipelopori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pemuda-pemuda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Lampung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persatuan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sekolah-sekolah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disekolah-sekolah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memprotek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sedini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mudanya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90A3F" w:rsidRDefault="00490A3F" w:rsidP="00490A3F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A343D">
        <w:rPr>
          <w:rFonts w:ascii="Times New Roman" w:hAnsi="Times New Roman" w:cs="Times New Roman"/>
          <w:b/>
          <w:iCs/>
          <w:sz w:val="24"/>
          <w:szCs w:val="24"/>
        </w:rPr>
        <w:t>Tujuan</w:t>
      </w:r>
      <w:proofErr w:type="spellEnd"/>
    </w:p>
    <w:p w:rsidR="00490A3F" w:rsidRPr="00A84042" w:rsidRDefault="00490A3F" w:rsidP="00490A3F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4042">
        <w:rPr>
          <w:rFonts w:ascii="Times New Roman" w:hAnsi="Times New Roman" w:cs="Times New Roman"/>
          <w:bCs/>
          <w:i/>
          <w:sz w:val="24"/>
          <w:szCs w:val="24"/>
        </w:rPr>
        <w:t>civil religion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lampung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A3F" w:rsidRPr="00713C26" w:rsidRDefault="00490A3F" w:rsidP="00490A3F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E5B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A6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perdama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B5EBF">
        <w:rPr>
          <w:rFonts w:ascii="Times New Roman" w:hAnsi="Times New Roman" w:cs="Times New Roman"/>
          <w:sz w:val="24"/>
          <w:szCs w:val="24"/>
        </w:rPr>
        <w:t>.</w:t>
      </w:r>
    </w:p>
    <w:p w:rsidR="00490A3F" w:rsidRPr="00A84042" w:rsidRDefault="00490A3F" w:rsidP="00490A3F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E5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6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E5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A6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E5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6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E5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6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6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E5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A65E5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65E5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65E5B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A65E5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6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A3F" w:rsidRDefault="00490A3F" w:rsidP="00490A3F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A84042">
        <w:rPr>
          <w:rFonts w:ascii="Times New Roman" w:hAnsi="Times New Roman" w:cs="Times New Roman"/>
          <w:b/>
          <w:iCs/>
          <w:sz w:val="24"/>
          <w:szCs w:val="24"/>
        </w:rPr>
        <w:t>Deskripsi</w:t>
      </w:r>
      <w:proofErr w:type="spellEnd"/>
      <w:r w:rsidRPr="00A8404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A84042">
        <w:rPr>
          <w:rFonts w:ascii="Times New Roman" w:hAnsi="Times New Roman" w:cs="Times New Roman"/>
          <w:b/>
          <w:iCs/>
          <w:sz w:val="24"/>
          <w:szCs w:val="24"/>
        </w:rPr>
        <w:t>Proyek</w:t>
      </w:r>
      <w:proofErr w:type="spellEnd"/>
      <w:r w:rsidRPr="00A8404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A84042">
        <w:rPr>
          <w:rFonts w:ascii="Times New Roman" w:hAnsi="Times New Roman" w:cs="Times New Roman"/>
          <w:b/>
          <w:iCs/>
          <w:sz w:val="24"/>
          <w:szCs w:val="24"/>
        </w:rPr>
        <w:t>Sosial</w:t>
      </w:r>
      <w:proofErr w:type="spellEnd"/>
    </w:p>
    <w:p w:rsidR="00490A3F" w:rsidRPr="00C941CB" w:rsidRDefault="00490A3F" w:rsidP="00490A3F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diutarakan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4042">
        <w:rPr>
          <w:rFonts w:ascii="Times New Roman" w:hAnsi="Times New Roman" w:cs="Times New Roman"/>
          <w:bCs/>
          <w:i/>
          <w:sz w:val="24"/>
          <w:szCs w:val="24"/>
        </w:rPr>
        <w:t>civil religion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mengerucut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sosiolog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Aguste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Comte (1795-1857 </w:t>
      </w:r>
      <w:proofErr w:type="spellStart"/>
      <w:r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</w:rPr>
        <w:t>, “</w:t>
      </w:r>
      <w:proofErr w:type="spellStart"/>
      <w:r>
        <w:rPr>
          <w:rFonts w:asciiTheme="majorBidi" w:hAnsiTheme="majorBidi" w:cstheme="majorBidi"/>
          <w:sz w:val="24"/>
          <w:szCs w:val="24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membutuhkan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mempersatukan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anggotanya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hidup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harmoni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lainya</w:t>
      </w:r>
      <w:proofErr w:type="spellEnd"/>
      <w:r>
        <w:rPr>
          <w:rFonts w:asciiTheme="majorBidi" w:hAnsiTheme="majorBidi" w:cstheme="majorBidi"/>
          <w:sz w:val="24"/>
          <w:szCs w:val="24"/>
        </w:rPr>
        <w:t>”.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Comte “agama </w:t>
      </w:r>
      <w:proofErr w:type="spellStart"/>
      <w:r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menyatukan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perekat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tatanan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>”.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menemukan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relevansinya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gagasan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1D8">
        <w:rPr>
          <w:rFonts w:asciiTheme="majorBidi" w:hAnsiTheme="majorBidi" w:cstheme="majorBidi"/>
          <w:i/>
          <w:sz w:val="24"/>
          <w:szCs w:val="24"/>
        </w:rPr>
        <w:t xml:space="preserve">civil religion </w:t>
      </w:r>
      <w:proofErr w:type="spellStart"/>
      <w:r>
        <w:rPr>
          <w:rFonts w:asciiTheme="majorBidi" w:hAnsiTheme="majorBidi" w:cstheme="majorBidi"/>
          <w:sz w:val="24"/>
          <w:szCs w:val="24"/>
        </w:rPr>
        <w:t>mulai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diperkenalakan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Robert Neely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(1970)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mendefenisakan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CC0">
        <w:rPr>
          <w:rFonts w:ascii="Times New Roman" w:hAnsi="Times New Roman" w:cs="Times New Roman"/>
          <w:i/>
          <w:sz w:val="24"/>
          <w:szCs w:val="24"/>
        </w:rPr>
        <w:t>civil religion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diekpersikan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keberagamaan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A3F" w:rsidRDefault="00490A3F" w:rsidP="00490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Tentu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pandangan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seutuhnya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diaplikasikan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berbangsa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bernegara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liberal,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tetepi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mengerucut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esensi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maknanya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>
        <w:rPr>
          <w:rFonts w:asciiTheme="majorBidi" w:hAnsiTheme="majorBidi" w:cstheme="majorBidi"/>
          <w:sz w:val="24"/>
          <w:szCs w:val="24"/>
        </w:rPr>
        <w:t>mempunyai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kontrol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dimanfaatkan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berguna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jalanya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Andrew Shanks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Chafid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C80973">
        <w:rPr>
          <w:rFonts w:ascii="Times New Roman" w:hAnsi="Times New Roman" w:cs="Times New Roman"/>
          <w:i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C80973">
        <w:rPr>
          <w:rFonts w:ascii="Times New Roman" w:hAnsi="Times New Roman" w:cs="Times New Roman"/>
          <w:i/>
          <w:sz w:val="24"/>
          <w:szCs w:val="24"/>
        </w:rPr>
        <w:t>civil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disucikan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tradisi-tradisi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mendobrak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A3F" w:rsidRDefault="00490A3F" w:rsidP="00490A3F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4042">
        <w:rPr>
          <w:rFonts w:ascii="Times New Roman" w:hAnsi="Times New Roman" w:cs="Times New Roman"/>
          <w:bCs/>
          <w:i/>
          <w:sz w:val="24"/>
          <w:szCs w:val="24"/>
        </w:rPr>
        <w:t>civil religion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lampung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mensosialisasikan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sekolah-sekolah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disitu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dahulunya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persatuan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kesatan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menganjurkan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90A3F" w:rsidRPr="00FA388D" w:rsidRDefault="00490A3F" w:rsidP="00490A3F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Materi-materi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fistival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kerayakyatan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disitu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budaya-budaya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keaneragaman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perkenalan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pembatas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90A3F" w:rsidRDefault="00490A3F" w:rsidP="00490A3F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C72C23">
        <w:rPr>
          <w:rFonts w:ascii="Times New Roman" w:hAnsi="Times New Roman" w:cs="Times New Roman"/>
          <w:b/>
          <w:iCs/>
          <w:sz w:val="24"/>
          <w:szCs w:val="24"/>
        </w:rPr>
        <w:t>Perencanaan</w:t>
      </w:r>
      <w:proofErr w:type="spellEnd"/>
      <w:r w:rsidRPr="00C72C2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72C23">
        <w:rPr>
          <w:rFonts w:ascii="Times New Roman" w:hAnsi="Times New Roman" w:cs="Times New Roman"/>
          <w:b/>
          <w:iCs/>
          <w:sz w:val="24"/>
          <w:szCs w:val="24"/>
        </w:rPr>
        <w:t>dan</w:t>
      </w:r>
      <w:proofErr w:type="spellEnd"/>
      <w:r w:rsidRPr="00C72C23">
        <w:rPr>
          <w:rFonts w:ascii="Times New Roman" w:hAnsi="Times New Roman" w:cs="Times New Roman"/>
          <w:b/>
          <w:iCs/>
          <w:sz w:val="24"/>
          <w:szCs w:val="24"/>
        </w:rPr>
        <w:t xml:space="preserve"> Budgeting</w:t>
      </w:r>
    </w:p>
    <w:p w:rsidR="00490A3F" w:rsidRDefault="00490A3F" w:rsidP="00490A3F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Budgeting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4042">
        <w:rPr>
          <w:rFonts w:ascii="Times New Roman" w:hAnsi="Times New Roman" w:cs="Times New Roman"/>
          <w:bCs/>
          <w:i/>
          <w:sz w:val="24"/>
          <w:szCs w:val="24"/>
        </w:rPr>
        <w:t>civil religion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lampung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010"/>
        <w:gridCol w:w="1243"/>
        <w:gridCol w:w="1010"/>
        <w:gridCol w:w="1229"/>
        <w:gridCol w:w="1189"/>
        <w:gridCol w:w="922"/>
        <w:gridCol w:w="1035"/>
      </w:tblGrid>
      <w:tr w:rsidR="00490A3F" w:rsidTr="00164745">
        <w:tc>
          <w:tcPr>
            <w:tcW w:w="1416" w:type="dxa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A38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010" w:type="dxa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A38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243" w:type="dxa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8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September</w:t>
            </w:r>
          </w:p>
        </w:tc>
        <w:tc>
          <w:tcPr>
            <w:tcW w:w="1010" w:type="dxa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A38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229" w:type="dxa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8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November</w:t>
            </w:r>
          </w:p>
        </w:tc>
        <w:tc>
          <w:tcPr>
            <w:tcW w:w="1189" w:type="dxa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A38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922" w:type="dxa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A38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035" w:type="dxa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A38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Februari</w:t>
            </w:r>
            <w:proofErr w:type="spellEnd"/>
          </w:p>
        </w:tc>
      </w:tr>
      <w:tr w:rsidR="00490A3F" w:rsidTr="00164745">
        <w:tc>
          <w:tcPr>
            <w:tcW w:w="1416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010" w:type="dxa"/>
            <w:shd w:val="clear" w:color="auto" w:fill="7F7F7F" w:themeFill="text1" w:themeFillTint="80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7F7F7F" w:themeFill="text1" w:themeFillTint="80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7F7F7F" w:themeFill="text1" w:themeFillTint="80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2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35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90A3F" w:rsidTr="00164745">
        <w:tc>
          <w:tcPr>
            <w:tcW w:w="1416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Mulai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Donatur</w:t>
            </w:r>
            <w:proofErr w:type="spellEnd"/>
          </w:p>
        </w:tc>
        <w:tc>
          <w:tcPr>
            <w:tcW w:w="1010" w:type="dxa"/>
            <w:shd w:val="clear" w:color="auto" w:fill="7F7F7F" w:themeFill="text1" w:themeFillTint="80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7F7F7F" w:themeFill="text1" w:themeFillTint="80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7F7F7F" w:themeFill="text1" w:themeFillTint="80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2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35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90A3F" w:rsidTr="00164745">
        <w:tc>
          <w:tcPr>
            <w:tcW w:w="1416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Rekutmen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Relawan</w:t>
            </w:r>
            <w:proofErr w:type="spellEnd"/>
          </w:p>
        </w:tc>
        <w:tc>
          <w:tcPr>
            <w:tcW w:w="1010" w:type="dxa"/>
            <w:shd w:val="clear" w:color="auto" w:fill="7F7F7F" w:themeFill="text1" w:themeFillTint="80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7F7F7F" w:themeFill="text1" w:themeFillTint="80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7F7F7F" w:themeFill="text1" w:themeFillTint="80"/>
          </w:tcPr>
          <w:p w:rsidR="00490A3F" w:rsidRPr="00FA388D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2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35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90A3F" w:rsidTr="00164745">
        <w:tc>
          <w:tcPr>
            <w:tcW w:w="1416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Lokasi</w:t>
            </w:r>
            <w:proofErr w:type="spellEnd"/>
          </w:p>
        </w:tc>
        <w:tc>
          <w:tcPr>
            <w:tcW w:w="1010" w:type="dxa"/>
            <w:shd w:val="clear" w:color="auto" w:fill="7F7F7F" w:themeFill="text1" w:themeFillTint="80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7F7F7F" w:themeFill="text1" w:themeFillTint="80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7F7F7F" w:themeFill="text1" w:themeFillTint="80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2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35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90A3F" w:rsidTr="00164745">
        <w:tc>
          <w:tcPr>
            <w:tcW w:w="1416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Realisasi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101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7F7F7F" w:themeFill="text1" w:themeFillTint="80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7F7F7F" w:themeFill="text1" w:themeFillTint="80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7F7F7F" w:themeFill="text1" w:themeFillTint="80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35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90A3F" w:rsidTr="00164745">
        <w:tc>
          <w:tcPr>
            <w:tcW w:w="1416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101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7F7F7F" w:themeFill="text1" w:themeFillTint="80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7F7F7F" w:themeFill="text1" w:themeFillTint="80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7F7F7F" w:themeFill="text1" w:themeFillTint="80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35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90A3F" w:rsidTr="00164745">
        <w:tc>
          <w:tcPr>
            <w:tcW w:w="1416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Evaluasi</w:t>
            </w:r>
            <w:proofErr w:type="spellEnd"/>
          </w:p>
        </w:tc>
        <w:tc>
          <w:tcPr>
            <w:tcW w:w="101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2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7F7F7F" w:themeFill="text1" w:themeFillTint="80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90A3F" w:rsidRDefault="00490A3F" w:rsidP="00490A3F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057"/>
        <w:gridCol w:w="3770"/>
      </w:tblGrid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No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Biaya</w:t>
            </w:r>
            <w:proofErr w:type="spellEnd"/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Kegiatan</w:t>
            </w:r>
            <w:proofErr w:type="spellEnd"/>
          </w:p>
        </w:tc>
      </w:tr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website </w:t>
            </w:r>
            <w:r w:rsidRPr="00F76861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  <w:u w:val="single"/>
              </w:rPr>
              <w:t>lampungdamai.com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twitter, Facebook </w:t>
            </w:r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Rp.120.000</w:t>
            </w:r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mensosialisasikan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segala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meteri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dipergunakan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mengakses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segalanya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sekaligus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mempergunkannya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Penyususnan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memperlibatkan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akademisi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ikut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berpartisipasi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Rp.3.500.000,00</w:t>
            </w:r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Agar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materi-materi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benar-benar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valid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diterapkan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menuju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konflik</w:t>
            </w:r>
            <w:proofErr w:type="spellEnd"/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Rp.300.000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,00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 orang.</w:t>
            </w:r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Menuju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terjadinya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relitas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Proposal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pihak</w:t>
            </w:r>
            <w:proofErr w:type="spellEnd"/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Rp.150.000,00</w:t>
            </w:r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legalitas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tujuannya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agenda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Menghimpun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genarasi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muda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berpartisipasi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Rp.300.000,00</w:t>
            </w:r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Agenda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berpartisipasi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paling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efesien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merekrut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genarasi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muda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pamphlet,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benner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berdiksusi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minimal 10 orang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berkomitmen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3000.000,00</w:t>
            </w:r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wawasan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generasi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muda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berkontribusi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Lampung.</w:t>
            </w:r>
          </w:p>
        </w:tc>
      </w:tr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seberapa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keberhasilan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Rp.200.000,00</w:t>
            </w:r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Hal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menemntukan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diadakan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terutama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disekolahan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memperkenalkan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Lampung.</w:t>
            </w:r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Rp.5000.000,00</w:t>
            </w:r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dijalankan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hilang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begitu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Adapun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pembinaannya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ekstrakulikuler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ahirnya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melibatkan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selembaran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baleho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benner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disebarakan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Rp.500.000,00</w:t>
            </w:r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Tujuannya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pentinya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ketentraman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pertikaian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0A3F" w:rsidTr="00164745">
        <w:tc>
          <w:tcPr>
            <w:tcW w:w="534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festival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bernuansa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2057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Rp.3000.000,00</w:t>
            </w:r>
          </w:p>
        </w:tc>
        <w:tc>
          <w:tcPr>
            <w:tcW w:w="3770" w:type="dxa"/>
          </w:tcPr>
          <w:p w:rsidR="00490A3F" w:rsidRDefault="00490A3F" w:rsidP="001647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dipergunakan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acara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penutup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berguna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merekatkan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kekeluargaan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agenda yang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garakan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lampung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damai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benar-benar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bermanfaat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0A3F" w:rsidTr="00164745">
        <w:tc>
          <w:tcPr>
            <w:tcW w:w="9054" w:type="dxa"/>
            <w:gridSpan w:val="4"/>
          </w:tcPr>
          <w:p w:rsidR="00490A3F" w:rsidRPr="00705512" w:rsidRDefault="00490A3F" w:rsidP="00164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Total </w:t>
            </w:r>
            <w:proofErr w:type="spellStart"/>
            <w:r w:rsidRPr="007055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GLD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disetiap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wilayah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Rp.16</w:t>
            </w:r>
            <w:r w:rsidRPr="007055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.070.000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,00</w:t>
            </w:r>
          </w:p>
        </w:tc>
      </w:tr>
    </w:tbl>
    <w:p w:rsidR="00490A3F" w:rsidRPr="00F76861" w:rsidRDefault="00490A3F" w:rsidP="00490A3F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0A3F" w:rsidRPr="00CB0AEC" w:rsidRDefault="00490A3F" w:rsidP="00490A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0AEC">
        <w:rPr>
          <w:rFonts w:ascii="Times New Roman" w:hAnsi="Times New Roman" w:cs="Times New Roman"/>
          <w:b/>
          <w:sz w:val="24"/>
          <w:szCs w:val="24"/>
        </w:rPr>
        <w:t>Hambatan</w:t>
      </w:r>
      <w:proofErr w:type="spellEnd"/>
      <w:r w:rsidRPr="00CB0A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AE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B0A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AEC">
        <w:rPr>
          <w:rFonts w:ascii="Times New Roman" w:hAnsi="Times New Roman" w:cs="Times New Roman"/>
          <w:b/>
          <w:sz w:val="24"/>
          <w:szCs w:val="24"/>
        </w:rPr>
        <w:t>Tantangan</w:t>
      </w:r>
      <w:proofErr w:type="spellEnd"/>
      <w:r w:rsidRPr="00CB0AEC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CB0AEC">
        <w:rPr>
          <w:rFonts w:ascii="Times New Roman" w:hAnsi="Times New Roman" w:cs="Times New Roman"/>
          <w:b/>
          <w:sz w:val="24"/>
          <w:szCs w:val="24"/>
        </w:rPr>
        <w:t>dihadapi</w:t>
      </w:r>
      <w:proofErr w:type="spellEnd"/>
    </w:p>
    <w:p w:rsidR="00490A3F" w:rsidRPr="00317466" w:rsidRDefault="00490A3F" w:rsidP="00490A3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daerah-daerah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berkonflik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Lampung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menyatukan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daerah-daerah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berkonflik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perkotaan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medan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lumayan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0A3F" w:rsidRDefault="00490A3F" w:rsidP="00490A3F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5C2091">
        <w:rPr>
          <w:rFonts w:ascii="Times New Roman" w:hAnsi="Times New Roman" w:cs="Times New Roman"/>
          <w:b/>
          <w:iCs/>
          <w:sz w:val="24"/>
          <w:szCs w:val="24"/>
        </w:rPr>
        <w:t>Daftar</w:t>
      </w:r>
      <w:proofErr w:type="spellEnd"/>
      <w:r w:rsidRPr="005C20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5C2091">
        <w:rPr>
          <w:rFonts w:ascii="Times New Roman" w:hAnsi="Times New Roman" w:cs="Times New Roman"/>
          <w:b/>
          <w:iCs/>
          <w:sz w:val="24"/>
          <w:szCs w:val="24"/>
        </w:rPr>
        <w:t>Pustaka</w:t>
      </w:r>
      <w:proofErr w:type="spellEnd"/>
    </w:p>
    <w:p w:rsidR="00490A3F" w:rsidRDefault="00490A3F" w:rsidP="00490A3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N.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1970. </w:t>
      </w:r>
      <w:proofErr w:type="spellStart"/>
      <w:r w:rsidRPr="00E1474C">
        <w:rPr>
          <w:rFonts w:ascii="Times New Roman" w:hAnsi="Times New Roman" w:cs="Times New Roman"/>
          <w:i/>
          <w:sz w:val="24"/>
          <w:szCs w:val="24"/>
        </w:rPr>
        <w:t>Boyend</w:t>
      </w:r>
      <w:proofErr w:type="spellEnd"/>
      <w:r w:rsidRPr="00E1474C">
        <w:rPr>
          <w:rFonts w:ascii="Times New Roman" w:hAnsi="Times New Roman" w:cs="Times New Roman"/>
          <w:i/>
          <w:sz w:val="24"/>
          <w:szCs w:val="24"/>
        </w:rPr>
        <w:t xml:space="preserve"> Belief: Easy of </w:t>
      </w:r>
      <w:proofErr w:type="spellStart"/>
      <w:r w:rsidRPr="00E1474C">
        <w:rPr>
          <w:rFonts w:ascii="Times New Roman" w:hAnsi="Times New Roman" w:cs="Times New Roman"/>
          <w:i/>
          <w:sz w:val="24"/>
          <w:szCs w:val="24"/>
        </w:rPr>
        <w:t>Releigion</w:t>
      </w:r>
      <w:proofErr w:type="spellEnd"/>
      <w:r w:rsidRPr="00E1474C">
        <w:rPr>
          <w:rFonts w:ascii="Times New Roman" w:hAnsi="Times New Roman" w:cs="Times New Roman"/>
          <w:i/>
          <w:sz w:val="24"/>
          <w:szCs w:val="24"/>
        </w:rPr>
        <w:t xml:space="preserve">, Trans, </w:t>
      </w:r>
      <w:proofErr w:type="spellStart"/>
      <w:proofErr w:type="gramStart"/>
      <w:r w:rsidRPr="00E1474C">
        <w:rPr>
          <w:rFonts w:ascii="Times New Roman" w:hAnsi="Times New Roman" w:cs="Times New Roman"/>
          <w:i/>
          <w:sz w:val="24"/>
          <w:szCs w:val="24"/>
        </w:rPr>
        <w:t>Keren</w:t>
      </w:r>
      <w:proofErr w:type="spellEnd"/>
      <w:proofErr w:type="gramEnd"/>
      <w:r w:rsidRPr="00E147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E1474C">
        <w:rPr>
          <w:rFonts w:ascii="Times New Roman" w:hAnsi="Times New Roman" w:cs="Times New Roman"/>
          <w:i/>
          <w:sz w:val="24"/>
          <w:szCs w:val="24"/>
        </w:rPr>
        <w:t>. Fields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Herper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Row 1970</w:t>
      </w:r>
    </w:p>
    <w:p w:rsidR="00490A3F" w:rsidRDefault="00490A3F" w:rsidP="00490A3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2002. </w:t>
      </w:r>
      <w:r w:rsidRPr="00B263B0">
        <w:rPr>
          <w:rFonts w:ascii="Times New Roman" w:hAnsi="Times New Roman" w:cs="Times New Roman"/>
          <w:i/>
          <w:sz w:val="24"/>
          <w:szCs w:val="24"/>
        </w:rPr>
        <w:t>Tanah Lampung. Bandar Lampung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PUSSbik</w:t>
      </w:r>
      <w:proofErr w:type="spellEnd"/>
    </w:p>
    <w:p w:rsidR="00490A3F" w:rsidRPr="00614FC7" w:rsidRDefault="00490A3F" w:rsidP="00490A3F">
      <w:pPr>
        <w:spacing w:line="360" w:lineRule="auto"/>
        <w:ind w:right="-20"/>
        <w:jc w:val="both"/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</w:pPr>
      <w:proofErr w:type="spellStart"/>
      <w:proofErr w:type="gramStart"/>
      <w:r w:rsidRPr="00614FC7">
        <w:rPr>
          <w:rFonts w:ascii="Times New Roman" w:eastAsia="Times New Roman" w:hAnsi="Times New Roman" w:cs="Times New Roman"/>
          <w:spacing w:val="1"/>
          <w:sz w:val="24"/>
          <w:szCs w:val="24"/>
        </w:rPr>
        <w:t>Ve</w:t>
      </w:r>
      <w:r w:rsidRPr="00614FC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14FC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14FC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 w:rsidRPr="00614F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C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14FC7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614FC7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614FC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4FC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14FC7">
        <w:rPr>
          <w:rFonts w:ascii="Times New Roman" w:eastAsia="Times New Roman" w:hAnsi="Times New Roman" w:cs="Times New Roman"/>
          <w:sz w:val="24"/>
          <w:szCs w:val="24"/>
        </w:rPr>
        <w:t>199</w:t>
      </w:r>
      <w:r w:rsidRPr="00614FC7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614F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14FC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proofErr w:type="gramStart"/>
      <w:r w:rsidRPr="00614FC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614FC7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 w:rsidRPr="00614FC7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614FC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614FC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 w:rsidRPr="00614FC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614FC7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spellEnd"/>
      <w:r w:rsidRPr="00614FC7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proofErr w:type="spellStart"/>
      <w:r w:rsidRPr="00614FC7"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 w:rsidRPr="00614FC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Pr="00614FC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614FC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al</w:t>
      </w:r>
      <w:proofErr w:type="spellEnd"/>
      <w:r w:rsidRPr="00614F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14FC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4FC7">
        <w:rPr>
          <w:rFonts w:ascii="Times New Roman" w:eastAsia="Times New Roman" w:hAnsi="Times New Roman" w:cs="Times New Roman"/>
          <w:spacing w:val="-4"/>
          <w:w w:val="102"/>
          <w:sz w:val="24"/>
          <w:szCs w:val="24"/>
        </w:rPr>
        <w:t>J</w:t>
      </w:r>
      <w:r w:rsidRPr="00614FC7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 w:rsidRPr="00614FC7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k</w:t>
      </w:r>
      <w:r w:rsidRPr="00614FC7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614FC7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r</w:t>
      </w:r>
      <w:r w:rsidRPr="00614FC7">
        <w:rPr>
          <w:rFonts w:ascii="Times New Roman" w:eastAsia="Times New Roman" w:hAnsi="Times New Roman" w:cs="Times New Roman"/>
          <w:w w:val="102"/>
          <w:sz w:val="24"/>
          <w:szCs w:val="24"/>
        </w:rPr>
        <w:t>t</w:t>
      </w:r>
      <w:r w:rsidRPr="00614FC7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 xml:space="preserve">: </w:t>
      </w:r>
      <w:proofErr w:type="spellStart"/>
      <w:r w:rsidRPr="00614FC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614FC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14FC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614FC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614FC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14FC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</w:p>
    <w:p w:rsidR="006C6542" w:rsidRPr="00490A3F" w:rsidRDefault="00490A3F" w:rsidP="00490A3F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hyperlink r:id="rId6" w:history="1">
        <w:r w:rsidRPr="00490A3F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http://www.lampost.co/berita/semiloka-komnas-ham-cegah-konflik-ganti-nama-nama-</w:t>
        </w:r>
        <w:bookmarkStart w:id="0" w:name="_GoBack"/>
        <w:bookmarkEnd w:id="0"/>
        <w:r w:rsidRPr="00490A3F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berbau-etnis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10; 03 </w:t>
      </w:r>
      <w:proofErr w:type="spellStart"/>
      <w:r>
        <w:rPr>
          <w:rFonts w:ascii="Times New Roman" w:hAnsi="Times New Roman" w:cs="Times New Roman"/>
          <w:sz w:val="24"/>
          <w:szCs w:val="24"/>
        </w:rPr>
        <w:t>Wib</w:t>
      </w:r>
      <w:proofErr w:type="spellEnd"/>
    </w:p>
    <w:sectPr w:rsidR="006C6542" w:rsidRPr="00490A3F" w:rsidSect="006D0925">
      <w:pgSz w:w="12240" w:h="15840"/>
      <w:pgMar w:top="2268" w:right="1701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4A0"/>
    <w:multiLevelType w:val="hybridMultilevel"/>
    <w:tmpl w:val="DD4E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57C8"/>
    <w:multiLevelType w:val="hybridMultilevel"/>
    <w:tmpl w:val="BE76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C05A7"/>
    <w:multiLevelType w:val="hybridMultilevel"/>
    <w:tmpl w:val="ED30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61A0B"/>
    <w:multiLevelType w:val="multilevel"/>
    <w:tmpl w:val="9B4E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3CF16FB"/>
    <w:multiLevelType w:val="hybridMultilevel"/>
    <w:tmpl w:val="803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C3"/>
    <w:rsid w:val="001D0406"/>
    <w:rsid w:val="00490A3F"/>
    <w:rsid w:val="009564C3"/>
    <w:rsid w:val="00B44A17"/>
    <w:rsid w:val="00C53685"/>
    <w:rsid w:val="00D2203E"/>
    <w:rsid w:val="00E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3F"/>
  </w:style>
  <w:style w:type="paragraph" w:styleId="Heading2">
    <w:name w:val="heading 2"/>
    <w:basedOn w:val="Normal"/>
    <w:next w:val="Normal"/>
    <w:link w:val="Heading2Char1"/>
    <w:qFormat/>
    <w:rsid w:val="00E675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C3"/>
    <w:pPr>
      <w:ind w:left="720"/>
      <w:contextualSpacing/>
    </w:pPr>
  </w:style>
  <w:style w:type="character" w:styleId="Hyperlink">
    <w:name w:val="Hyperlink"/>
    <w:uiPriority w:val="99"/>
    <w:unhideWhenUsed/>
    <w:rsid w:val="00B44A17"/>
    <w:rPr>
      <w:color w:val="0000FF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E67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6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1">
    <w:name w:val="Heading 2 Char1"/>
    <w:link w:val="Heading2"/>
    <w:locked/>
    <w:rsid w:val="00E6754D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490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3F"/>
  </w:style>
  <w:style w:type="paragraph" w:styleId="Heading2">
    <w:name w:val="heading 2"/>
    <w:basedOn w:val="Normal"/>
    <w:next w:val="Normal"/>
    <w:link w:val="Heading2Char1"/>
    <w:qFormat/>
    <w:rsid w:val="00E675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C3"/>
    <w:pPr>
      <w:ind w:left="720"/>
      <w:contextualSpacing/>
    </w:pPr>
  </w:style>
  <w:style w:type="character" w:styleId="Hyperlink">
    <w:name w:val="Hyperlink"/>
    <w:uiPriority w:val="99"/>
    <w:unhideWhenUsed/>
    <w:rsid w:val="00B44A17"/>
    <w:rPr>
      <w:color w:val="0000FF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E67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6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1">
    <w:name w:val="Heading 2 Char1"/>
    <w:link w:val="Heading2"/>
    <w:locked/>
    <w:rsid w:val="00E6754D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490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post.co/berita/semiloka-komnas-ham-cegah-konflik-ganti-nama-nama-berbau-etn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2019-02-17T08:35:00Z</dcterms:created>
  <dcterms:modified xsi:type="dcterms:W3CDTF">2019-02-17T08:35:00Z</dcterms:modified>
</cp:coreProperties>
</file>